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63CE" w14:textId="77777777" w:rsidR="00BE01FF" w:rsidRPr="00BE01FF" w:rsidRDefault="00BE01FF" w:rsidP="00BE01FF">
      <w:pPr>
        <w:spacing w:after="0" w:line="480" w:lineRule="auto"/>
        <w:jc w:val="center"/>
        <w:rPr>
          <w:b/>
          <w:bCs/>
          <w:szCs w:val="28"/>
          <w:lang w:val="bg-BG"/>
        </w:rPr>
      </w:pPr>
      <w:r w:rsidRPr="00BE01FF">
        <w:rPr>
          <w:b/>
          <w:bCs/>
          <w:szCs w:val="28"/>
          <w:lang w:val="bg-BG"/>
        </w:rPr>
        <w:t>Институтът по роботика при Българската академия на науките</w:t>
      </w:r>
    </w:p>
    <w:p w14:paraId="3BA3AA21" w14:textId="0BD29565" w:rsidR="00BE01FF" w:rsidRPr="00BE01FF" w:rsidRDefault="00BE01FF" w:rsidP="00BE01FF">
      <w:pPr>
        <w:spacing w:after="0"/>
        <w:jc w:val="center"/>
        <w:rPr>
          <w:lang w:val="bg-BG"/>
        </w:rPr>
      </w:pPr>
      <w:r w:rsidRPr="00BE01FF">
        <w:rPr>
          <w:lang w:val="bg-BG"/>
        </w:rPr>
        <w:t>ОБЯВЯВА СВОБОДНА ПОЗИЦИЯ</w:t>
      </w:r>
    </w:p>
    <w:p w14:paraId="14C498CD" w14:textId="1FEA5C95" w:rsidR="00BE01FF" w:rsidRPr="00BE01FF" w:rsidRDefault="00BE01FF" w:rsidP="00BE01FF">
      <w:pPr>
        <w:spacing w:after="0" w:line="480" w:lineRule="auto"/>
        <w:jc w:val="center"/>
        <w:rPr>
          <w:lang w:val="bg-BG"/>
        </w:rPr>
      </w:pPr>
      <w:r w:rsidRPr="00BE01FF">
        <w:rPr>
          <w:lang w:val="bg-BG"/>
        </w:rPr>
        <w:t>ЗА ДЛЪЖНОСТТА</w:t>
      </w:r>
      <w:r>
        <w:rPr>
          <w:lang w:val="bg-BG"/>
        </w:rPr>
        <w:t xml:space="preserve"> </w:t>
      </w:r>
      <w:r w:rsidRPr="00BE01FF">
        <w:rPr>
          <w:lang w:val="bg-BG"/>
        </w:rPr>
        <w:t>ТЕХНИЧЕСКИ СЪТРУДНИК</w:t>
      </w:r>
    </w:p>
    <w:p w14:paraId="5526A2F9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по ДОГОВОР ЗА ФИНАНСИРАНЕ № ПВУ – 44 от 05.12.2024 г. /BG-RRP-2.017-0011-С01/ „Екологични колаборативни роботи, захранвани със зелен водород“ от МВУ за изпълнение на инвестиция по С2I2 „Повишаване на иновативния капацитет на БАН в сферата на зелените и цифровите технологии“ от Плана за възстановяване и устойчивост (ПВУ). </w:t>
      </w:r>
    </w:p>
    <w:p w14:paraId="464714A1" w14:textId="77777777" w:rsidR="00BE01FF" w:rsidRPr="00BE01FF" w:rsidRDefault="00BE01FF" w:rsidP="00BE01FF">
      <w:pPr>
        <w:spacing w:before="120" w:after="0"/>
        <w:ind w:firstLine="706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Основни функции и отговорности</w:t>
      </w:r>
      <w:r w:rsidRPr="00BE01FF">
        <w:rPr>
          <w:sz w:val="24"/>
          <w:szCs w:val="24"/>
          <w:lang w:val="bg-BG"/>
        </w:rPr>
        <w:t xml:space="preserve"> </w:t>
      </w:r>
      <w:r w:rsidRPr="00CD5FC4">
        <w:rPr>
          <w:b/>
          <w:bCs/>
          <w:sz w:val="24"/>
          <w:szCs w:val="24"/>
          <w:lang w:val="bg-BG"/>
        </w:rPr>
        <w:t>на заемащия длъжността:</w:t>
      </w:r>
    </w:p>
    <w:p w14:paraId="2FEF4D17" w14:textId="30E5C1A0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осигурява административно-техническото обслуждане на дейностите по проекта, като своевременно класира и предава документите, свързани с изпълнението им.</w:t>
      </w:r>
    </w:p>
    <w:p w14:paraId="0A6D34B7" w14:textId="6DA714DD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подпомага дейността на ръководителите на работните пакети по проекта в областта на научноизследователската част от изпълнението на проекта.</w:t>
      </w:r>
    </w:p>
    <w:p w14:paraId="1A8BFD4A" w14:textId="2DE8CDF5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съдейства на екипа за правилното протичане на заложените дейности.</w:t>
      </w:r>
    </w:p>
    <w:p w14:paraId="0780CB31" w14:textId="32383D1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съдейства при изготвянето на ежемесечните отчети за изпълнение на дейностите по проекта. </w:t>
      </w:r>
    </w:p>
    <w:p w14:paraId="72FFB8F7" w14:textId="63C35E2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извършва публикуването на отчетите и на други необходими документи във връзка с изпълнението на проекта на страницата на ИСУН. </w:t>
      </w:r>
    </w:p>
    <w:p w14:paraId="5767D557" w14:textId="7B4AEFE1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Да събира техническа документация и доказателствени материали, свързани с дейностите по изпълнение на проекта. </w:t>
      </w:r>
    </w:p>
    <w:p w14:paraId="45703CF4" w14:textId="5C28EAE2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участва в изготвянето на дневните финансови отчети и финансово – техническите отчети по проекта в ИСУН;</w:t>
      </w:r>
    </w:p>
    <w:p w14:paraId="7DDF2804" w14:textId="155F943F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организира и поддържа текущия архив на проекта.</w:t>
      </w:r>
    </w:p>
    <w:p w14:paraId="750F1750" w14:textId="0093608A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Да подготвя необходимата документация за сдаване в архив на ИР – БАН до два  месеца след приключване на проекта.</w:t>
      </w:r>
    </w:p>
    <w:p w14:paraId="5EFE4DA0" w14:textId="49D10B69" w:rsidR="00BE01FF" w:rsidRPr="00BE01FF" w:rsidRDefault="00BE01FF" w:rsidP="00BE01FF">
      <w:pPr>
        <w:pStyle w:val="ListParagraph"/>
        <w:numPr>
          <w:ilvl w:val="0"/>
          <w:numId w:val="1"/>
        </w:numPr>
        <w:spacing w:after="0"/>
        <w:ind w:left="990" w:hanging="270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Изпълнява и други конкретно възложени задачи, свързани с длъжността.</w:t>
      </w:r>
    </w:p>
    <w:p w14:paraId="5CF4CCD0" w14:textId="77777777" w:rsidR="00BE01FF" w:rsidRPr="00CD5FC4" w:rsidRDefault="00BE01FF" w:rsidP="00BE01FF">
      <w:pPr>
        <w:spacing w:before="120" w:after="120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Изисквания към кандидатите:</w:t>
      </w:r>
    </w:p>
    <w:p w14:paraId="366231A9" w14:textId="5350DEF3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Образование/ квалификация: средно образование;</w:t>
      </w:r>
    </w:p>
    <w:p w14:paraId="70180206" w14:textId="586723F0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Oпит: минимум 1 година</w:t>
      </w:r>
    </w:p>
    <w:p w14:paraId="64129404" w14:textId="5887FC65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Компютърна грамотност (MS Office);</w:t>
      </w:r>
    </w:p>
    <w:p w14:paraId="37C556C3" w14:textId="5BA36993" w:rsidR="00BE01FF" w:rsidRPr="00BE01FF" w:rsidRDefault="00BE01FF" w:rsidP="00BE01F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hanging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Владеенето на чужд език (английски) е предимство.</w:t>
      </w:r>
    </w:p>
    <w:p w14:paraId="289E539A" w14:textId="77777777" w:rsidR="00BE01FF" w:rsidRPr="00CD5FC4" w:rsidRDefault="00BE01FF" w:rsidP="00BE01FF">
      <w:pPr>
        <w:spacing w:before="120" w:after="120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Други условия:</w:t>
      </w:r>
    </w:p>
    <w:p w14:paraId="5CFA0FD6" w14:textId="35AF129D" w:rsidR="00BE01FF" w:rsidRPr="00BE01FF" w:rsidRDefault="00BE01FF" w:rsidP="00BE01FF">
      <w:pPr>
        <w:pStyle w:val="ListParagraph"/>
        <w:numPr>
          <w:ilvl w:val="0"/>
          <w:numId w:val="7"/>
        </w:num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Сключване на срочен трудов договор на непълно работно време – </w:t>
      </w:r>
      <w:r w:rsidR="004F4C76">
        <w:rPr>
          <w:sz w:val="24"/>
          <w:szCs w:val="24"/>
          <w:lang w:val="bg-BG"/>
        </w:rPr>
        <w:t>2</w:t>
      </w:r>
      <w:r w:rsidRPr="00BE01FF">
        <w:rPr>
          <w:sz w:val="24"/>
          <w:szCs w:val="24"/>
          <w:lang w:val="bg-BG"/>
        </w:rPr>
        <w:t xml:space="preserve">  часа, за срок до 30 май 2026 г.;</w:t>
      </w:r>
    </w:p>
    <w:p w14:paraId="003E7D3B" w14:textId="5896D69B" w:rsidR="00BE01FF" w:rsidRPr="00BE01FF" w:rsidRDefault="00BE01FF" w:rsidP="00BE01FF">
      <w:pPr>
        <w:pStyle w:val="ListParagraph"/>
        <w:numPr>
          <w:ilvl w:val="0"/>
          <w:numId w:val="7"/>
        </w:numPr>
        <w:tabs>
          <w:tab w:val="left" w:pos="990"/>
        </w:tabs>
        <w:spacing w:after="0" w:line="360" w:lineRule="auto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Часова ставка – в зависимост от опитa, мин. </w:t>
      </w:r>
      <w:r w:rsidR="004F4C76">
        <w:rPr>
          <w:sz w:val="24"/>
          <w:szCs w:val="24"/>
          <w:lang w:val="bg-BG"/>
        </w:rPr>
        <w:t>9</w:t>
      </w:r>
      <w:r w:rsidR="00A0660F">
        <w:rPr>
          <w:sz w:val="24"/>
          <w:szCs w:val="24"/>
          <w:lang w:val="bg-BG"/>
        </w:rPr>
        <w:t>,</w:t>
      </w:r>
      <w:r w:rsidR="004F4C76">
        <w:rPr>
          <w:sz w:val="24"/>
          <w:szCs w:val="24"/>
          <w:lang w:val="bg-BG"/>
        </w:rPr>
        <w:t>0</w:t>
      </w:r>
      <w:r w:rsidR="00A0660F">
        <w:rPr>
          <w:sz w:val="24"/>
          <w:szCs w:val="24"/>
          <w:lang w:val="bg-BG"/>
        </w:rPr>
        <w:t>0</w:t>
      </w:r>
      <w:r w:rsidRPr="00BE01FF">
        <w:rPr>
          <w:sz w:val="24"/>
          <w:szCs w:val="24"/>
          <w:lang w:val="bg-BG"/>
        </w:rPr>
        <w:t xml:space="preserve"> лв/ч.</w:t>
      </w:r>
    </w:p>
    <w:p w14:paraId="3B4AFE25" w14:textId="77777777" w:rsidR="00BE01FF" w:rsidRPr="00BE01FF" w:rsidRDefault="00BE01FF" w:rsidP="00BE01FF">
      <w:pPr>
        <w:spacing w:after="0"/>
        <w:ind w:firstLine="706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Позицията се финансира по ДОГОВОР ЗА ФИНАНСИРАНЕ № ПВУ - 44 от 05.12.2024 г. /BG-RRP-2.017-0011-С01/ „Екологични колаборативни роботи, захранвани със зелен водород“ от МВУ за изпълнение на инвестиция по С2I2 „Повишаване на иновативния капацитет на БАН в сферата на зелените и цифровите технологии“ от Плана за възстановяване и устойчивост </w:t>
      </w:r>
      <w:r w:rsidRPr="00BE01FF">
        <w:rPr>
          <w:sz w:val="24"/>
          <w:szCs w:val="24"/>
          <w:lang w:val="bg-BG"/>
        </w:rPr>
        <w:lastRenderedPageBreak/>
        <w:t>(ПВУ) от бюджетна линия 7.1. BG-RRP-2 „Разходи по организация и управление на проекта, включващи разходи за персонал (възнаграждения и осигуровки за сметка на осигурителя)“.</w:t>
      </w:r>
    </w:p>
    <w:p w14:paraId="4704ADD4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</w:p>
    <w:p w14:paraId="198D766F" w14:textId="77777777" w:rsidR="00BE01FF" w:rsidRPr="00CD5FC4" w:rsidRDefault="00BE01FF" w:rsidP="00BE01FF">
      <w:pPr>
        <w:spacing w:after="0" w:line="276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Необходими документи за кандидатстване:</w:t>
      </w:r>
    </w:p>
    <w:p w14:paraId="630540B0" w14:textId="2677E96D" w:rsidR="00BE01FF" w:rsidRPr="00BE01FF" w:rsidRDefault="00BE01FF" w:rsidP="00BE01FF">
      <w:p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1.</w:t>
      </w:r>
      <w:r w:rsidRPr="00BE01FF">
        <w:rPr>
          <w:sz w:val="24"/>
          <w:szCs w:val="24"/>
          <w:lang w:val="bg-BG"/>
        </w:rPr>
        <w:tab/>
        <w:t>Заявление (свободен текст с посочени данни за контакт)</w:t>
      </w:r>
      <w:r>
        <w:rPr>
          <w:sz w:val="24"/>
          <w:szCs w:val="24"/>
          <w:lang w:val="bg-BG"/>
        </w:rPr>
        <w:t>;</w:t>
      </w:r>
      <w:r w:rsidRPr="00BE01FF">
        <w:rPr>
          <w:sz w:val="24"/>
          <w:szCs w:val="24"/>
          <w:lang w:val="bg-BG"/>
        </w:rPr>
        <w:t xml:space="preserve">  </w:t>
      </w:r>
    </w:p>
    <w:p w14:paraId="5B8F7AE6" w14:textId="77777777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2.</w:t>
      </w:r>
      <w:r w:rsidRPr="00BE01FF">
        <w:rPr>
          <w:sz w:val="24"/>
          <w:szCs w:val="24"/>
          <w:lang w:val="bg-BG"/>
        </w:rPr>
        <w:tab/>
        <w:t>Автобиография (CV европейски формат);</w:t>
      </w:r>
    </w:p>
    <w:p w14:paraId="2A6AB707" w14:textId="77777777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3.</w:t>
      </w:r>
      <w:r w:rsidRPr="00BE01FF">
        <w:rPr>
          <w:sz w:val="24"/>
          <w:szCs w:val="24"/>
          <w:lang w:val="bg-BG"/>
        </w:rPr>
        <w:tab/>
        <w:t>Диплома за завършено средно образование;</w:t>
      </w:r>
    </w:p>
    <w:p w14:paraId="5AFC497B" w14:textId="027B9F83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4.</w:t>
      </w:r>
      <w:r w:rsidRPr="00BE01FF">
        <w:rPr>
          <w:sz w:val="24"/>
          <w:szCs w:val="24"/>
          <w:lang w:val="bg-BG"/>
        </w:rPr>
        <w:tab/>
        <w:t>Декларация по чл. 4, ал. 1, т. 2 от Закона за защита на личните данни</w:t>
      </w:r>
      <w:r w:rsidR="004F4C76">
        <w:rPr>
          <w:sz w:val="24"/>
          <w:szCs w:val="24"/>
          <w:lang w:val="bg-BG"/>
        </w:rPr>
        <w:t xml:space="preserve"> </w:t>
      </w:r>
      <w:r w:rsidR="004F4C76" w:rsidRPr="00BE01FF">
        <w:rPr>
          <w:sz w:val="24"/>
          <w:szCs w:val="24"/>
          <w:lang w:val="bg-BG"/>
        </w:rPr>
        <w:t>(ЗЗЛД)</w:t>
      </w:r>
      <w:r w:rsidRPr="00BE01FF">
        <w:rPr>
          <w:sz w:val="24"/>
          <w:szCs w:val="24"/>
          <w:lang w:val="bg-BG"/>
        </w:rPr>
        <w:t>;</w:t>
      </w:r>
    </w:p>
    <w:p w14:paraId="1B9BC788" w14:textId="77777777" w:rsidR="00BE01FF" w:rsidRPr="00BE01FF" w:rsidRDefault="00BE01FF" w:rsidP="00BE01FF">
      <w:pPr>
        <w:tabs>
          <w:tab w:val="left" w:pos="990"/>
        </w:tabs>
        <w:spacing w:after="0"/>
        <w:ind w:left="990" w:hanging="281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5.</w:t>
      </w:r>
      <w:r w:rsidRPr="00BE01FF">
        <w:rPr>
          <w:sz w:val="24"/>
          <w:szCs w:val="24"/>
          <w:lang w:val="bg-BG"/>
        </w:rPr>
        <w:tab/>
        <w:t>Декларация № 15 за липса на конфликт на интереси по смисъла на чл. 57, § 2 от Регламент (ЕС, Евроатом) № 966/2012 г.;</w:t>
      </w:r>
    </w:p>
    <w:p w14:paraId="3E61DEFF" w14:textId="18E16B08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Pr="00BE01FF">
        <w:rPr>
          <w:sz w:val="24"/>
          <w:szCs w:val="24"/>
          <w:lang w:val="bg-BG"/>
        </w:rPr>
        <w:tab/>
        <w:t>Медицинско свидетелство за постъпване на работа;</w:t>
      </w:r>
    </w:p>
    <w:p w14:paraId="4BB4B594" w14:textId="49E90B08" w:rsidR="00BE01FF" w:rsidRPr="00BE01FF" w:rsidRDefault="004F4C76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BE01FF" w:rsidRPr="00BE01FF">
        <w:rPr>
          <w:sz w:val="24"/>
          <w:szCs w:val="24"/>
          <w:lang w:val="bg-BG"/>
        </w:rPr>
        <w:t>.</w:t>
      </w:r>
      <w:r w:rsidR="00BE01FF" w:rsidRPr="00BE01FF">
        <w:rPr>
          <w:sz w:val="24"/>
          <w:szCs w:val="24"/>
          <w:lang w:val="bg-BG"/>
        </w:rPr>
        <w:tab/>
        <w:t>Свидетелство за съдимост;</w:t>
      </w:r>
    </w:p>
    <w:p w14:paraId="6EA6B98B" w14:textId="4EFC31DE" w:rsidR="00BE01FF" w:rsidRPr="00BE01FF" w:rsidRDefault="004F4C76" w:rsidP="00BE01FF">
      <w:pPr>
        <w:tabs>
          <w:tab w:val="left" w:pos="990"/>
        </w:tabs>
        <w:spacing w:after="240"/>
        <w:ind w:firstLine="70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BE01FF" w:rsidRPr="00BE01FF">
        <w:rPr>
          <w:sz w:val="24"/>
          <w:szCs w:val="24"/>
          <w:lang w:val="bg-BG"/>
        </w:rPr>
        <w:t>.</w:t>
      </w:r>
      <w:r w:rsidR="00BE01FF" w:rsidRPr="00BE01FF">
        <w:rPr>
          <w:sz w:val="24"/>
          <w:szCs w:val="24"/>
          <w:lang w:val="bg-BG"/>
        </w:rPr>
        <w:tab/>
        <w:t>Други документи за придобита квалификация/опит по преценка на кандидата.</w:t>
      </w:r>
    </w:p>
    <w:p w14:paraId="5A4C28B5" w14:textId="77777777" w:rsidR="0008565C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u w:val="single"/>
          <w:lang w:val="bg-BG"/>
        </w:rPr>
        <w:t>Забележка:</w:t>
      </w:r>
      <w:r w:rsidRPr="00BE01FF">
        <w:rPr>
          <w:sz w:val="24"/>
          <w:szCs w:val="24"/>
          <w:lang w:val="bg-BG"/>
        </w:rPr>
        <w:t xml:space="preserve"> При подаването на документите се предоставят копия на дипломите и другите документи за придобита квалификация/опит, подписани от кандидата с „Вярно с оригинала“. </w:t>
      </w:r>
      <w:r w:rsidR="0008565C" w:rsidRPr="00BE01FF">
        <w:rPr>
          <w:sz w:val="24"/>
          <w:szCs w:val="24"/>
          <w:lang w:val="bg-BG"/>
        </w:rPr>
        <w:t>Оригиналите се представят при класиране и покана за назначаване.</w:t>
      </w:r>
    </w:p>
    <w:p w14:paraId="0D28EDFA" w14:textId="4161A6E3" w:rsidR="00BE01FF" w:rsidRPr="00BE01FF" w:rsidRDefault="004F4C76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Образци на декларациите (т. 4. и т. 5.) могат да се попълнят на място при подаване на документите. </w:t>
      </w:r>
    </w:p>
    <w:p w14:paraId="763E599F" w14:textId="01BEF97B" w:rsidR="00BE01FF" w:rsidRPr="00BE01FF" w:rsidRDefault="00BE01FF" w:rsidP="00BE01FF">
      <w:pPr>
        <w:spacing w:before="120" w:after="120"/>
        <w:ind w:firstLine="706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Срок</w:t>
      </w:r>
      <w:r w:rsidRPr="00BE01FF">
        <w:rPr>
          <w:sz w:val="24"/>
          <w:szCs w:val="24"/>
          <w:lang w:val="bg-BG"/>
        </w:rPr>
        <w:t xml:space="preserve"> за подаване на документи: 11.03.2025 г.</w:t>
      </w:r>
    </w:p>
    <w:p w14:paraId="510125BE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Мяст</w:t>
      </w:r>
      <w:r w:rsidRPr="00BE01FF">
        <w:rPr>
          <w:sz w:val="24"/>
          <w:szCs w:val="24"/>
          <w:lang w:val="bg-BG"/>
        </w:rPr>
        <w:t>о за подаване на документи:  деловодството на Института по роботика – БАН на адрес: гр. София, 1113, ул. „Акад. Г. Бончев“ бл. 2, ет. 4.</w:t>
      </w:r>
    </w:p>
    <w:p w14:paraId="3411C2F7" w14:textId="77777777" w:rsidR="00BE01FF" w:rsidRPr="00CD5FC4" w:rsidRDefault="00BE01FF" w:rsidP="00BE01FF">
      <w:pPr>
        <w:spacing w:before="120" w:after="0" w:line="276" w:lineRule="auto"/>
        <w:ind w:firstLine="706"/>
        <w:jc w:val="both"/>
        <w:rPr>
          <w:b/>
          <w:bCs/>
          <w:sz w:val="24"/>
          <w:szCs w:val="24"/>
          <w:lang w:val="bg-BG"/>
        </w:rPr>
      </w:pPr>
      <w:r w:rsidRPr="00CD5FC4">
        <w:rPr>
          <w:b/>
          <w:bCs/>
          <w:sz w:val="24"/>
          <w:szCs w:val="24"/>
          <w:lang w:val="bg-BG"/>
        </w:rPr>
        <w:t>Етапи на подбора:</w:t>
      </w:r>
    </w:p>
    <w:p w14:paraId="28714883" w14:textId="3008E7B6" w:rsidR="00BE01FF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1.</w:t>
      </w:r>
      <w:r w:rsidRPr="00BE01FF">
        <w:rPr>
          <w:sz w:val="24"/>
          <w:szCs w:val="24"/>
          <w:lang w:val="bg-BG"/>
        </w:rPr>
        <w:tab/>
        <w:t xml:space="preserve">Разглеждане на документите на кандидатите, допускане до събеседване на тези, които отговарят на изискванията и публикуване на списък на допуснатите кандидати на интернет страницата на Института по роботика – БАН на адрес: </w:t>
      </w:r>
      <w:r w:rsidR="00CD5FC4" w:rsidRPr="00BE01FF">
        <w:rPr>
          <w:sz w:val="24"/>
          <w:szCs w:val="24"/>
          <w:lang w:val="bg-BG"/>
        </w:rPr>
        <w:t xml:space="preserve">http://ir.bas.bg </w:t>
      </w:r>
      <w:r w:rsidRPr="00BE01FF">
        <w:rPr>
          <w:sz w:val="24"/>
          <w:szCs w:val="24"/>
          <w:lang w:val="bg-BG"/>
        </w:rPr>
        <w:t xml:space="preserve">(рубрика Конкурси). </w:t>
      </w:r>
    </w:p>
    <w:p w14:paraId="1CF787B5" w14:textId="77777777" w:rsidR="00BE01FF" w:rsidRPr="00BE01FF" w:rsidRDefault="00BE01FF" w:rsidP="00BE01FF">
      <w:pPr>
        <w:tabs>
          <w:tab w:val="left" w:pos="990"/>
        </w:tabs>
        <w:spacing w:after="0" w:line="276" w:lineRule="auto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2.</w:t>
      </w:r>
      <w:r w:rsidRPr="00BE01FF">
        <w:rPr>
          <w:sz w:val="24"/>
          <w:szCs w:val="24"/>
          <w:lang w:val="bg-BG"/>
        </w:rPr>
        <w:tab/>
        <w:t>Интервю с допуснатите кандидати: на 13.03.2025 г. от комисия в състав:</w:t>
      </w:r>
    </w:p>
    <w:p w14:paraId="5F1DF47B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Председател: доц. д-р Нина Вълчкова</w:t>
      </w:r>
    </w:p>
    <w:p w14:paraId="1B3908B3" w14:textId="77777777" w:rsidR="00BE01FF" w:rsidRPr="00BE01FF" w:rsidRDefault="00BE01FF" w:rsidP="00BE01FF">
      <w:pPr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 xml:space="preserve">Членове: </w:t>
      </w:r>
      <w:r w:rsidRPr="00BE01FF">
        <w:rPr>
          <w:sz w:val="24"/>
          <w:szCs w:val="24"/>
          <w:lang w:val="bg-BG"/>
        </w:rPr>
        <w:tab/>
        <w:t xml:space="preserve">  Ивета Цветанова</w:t>
      </w:r>
    </w:p>
    <w:p w14:paraId="760F71B9" w14:textId="77777777" w:rsidR="00BE01FF" w:rsidRPr="00BE01FF" w:rsidRDefault="00BE01FF" w:rsidP="00BE01FF">
      <w:pPr>
        <w:spacing w:after="0" w:line="360" w:lineRule="auto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ab/>
      </w:r>
      <w:r w:rsidRPr="00BE01FF">
        <w:rPr>
          <w:sz w:val="24"/>
          <w:szCs w:val="24"/>
          <w:lang w:val="bg-BG"/>
        </w:rPr>
        <w:tab/>
        <w:t xml:space="preserve">  Светлана Асенова</w:t>
      </w:r>
    </w:p>
    <w:p w14:paraId="49EDE46F" w14:textId="498AB6F9" w:rsidR="00F12C76" w:rsidRPr="00BE01FF" w:rsidRDefault="00BE01FF" w:rsidP="00BE01FF">
      <w:pPr>
        <w:tabs>
          <w:tab w:val="left" w:pos="990"/>
        </w:tabs>
        <w:spacing w:after="0"/>
        <w:ind w:firstLine="709"/>
        <w:jc w:val="both"/>
        <w:rPr>
          <w:sz w:val="24"/>
          <w:szCs w:val="24"/>
          <w:lang w:val="bg-BG"/>
        </w:rPr>
      </w:pPr>
      <w:r w:rsidRPr="00BE01FF">
        <w:rPr>
          <w:sz w:val="24"/>
          <w:szCs w:val="24"/>
          <w:lang w:val="bg-BG"/>
        </w:rPr>
        <w:t>3.</w:t>
      </w:r>
      <w:r w:rsidRPr="00BE01FF">
        <w:rPr>
          <w:sz w:val="24"/>
          <w:szCs w:val="24"/>
          <w:lang w:val="bg-BG"/>
        </w:rPr>
        <w:tab/>
        <w:t>Публикуване на списък с класираните кандидати на интернет страницата на Института по роботика – БАН на адрес: http://ir.bas.bg (рубрика Конкурси).</w:t>
      </w:r>
    </w:p>
    <w:sectPr w:rsidR="00F12C76" w:rsidRPr="00BE01FF" w:rsidSect="00BE01FF">
      <w:headerReference w:type="default" r:id="rId7"/>
      <w:pgSz w:w="11906" w:h="16838" w:code="9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ABDC" w14:textId="77777777" w:rsidR="008507B3" w:rsidRDefault="008507B3" w:rsidP="00BE01FF">
      <w:pPr>
        <w:spacing w:after="0"/>
      </w:pPr>
      <w:r>
        <w:separator/>
      </w:r>
    </w:p>
  </w:endnote>
  <w:endnote w:type="continuationSeparator" w:id="0">
    <w:p w14:paraId="5B4DCCCE" w14:textId="77777777" w:rsidR="008507B3" w:rsidRDefault="008507B3" w:rsidP="00BE0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CBD3" w14:textId="77777777" w:rsidR="008507B3" w:rsidRDefault="008507B3" w:rsidP="00BE01FF">
      <w:pPr>
        <w:spacing w:after="0"/>
      </w:pPr>
      <w:r>
        <w:separator/>
      </w:r>
    </w:p>
  </w:footnote>
  <w:footnote w:type="continuationSeparator" w:id="0">
    <w:p w14:paraId="2B8D3932" w14:textId="77777777" w:rsidR="008507B3" w:rsidRDefault="008507B3" w:rsidP="00BE0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CB70" w14:textId="77777777" w:rsidR="00BE01FF" w:rsidRPr="0005772B" w:rsidRDefault="00BE01FF" w:rsidP="00BE01FF">
    <w:pPr>
      <w:kinsoku w:val="0"/>
      <w:overflowPunct w:val="0"/>
      <w:autoSpaceDE w:val="0"/>
      <w:autoSpaceDN w:val="0"/>
      <w:adjustRightInd w:val="0"/>
      <w:spacing w:before="6"/>
      <w:rPr>
        <w:b/>
        <w:bCs/>
        <w:sz w:val="7"/>
        <w:szCs w:val="7"/>
      </w:rPr>
    </w:pPr>
    <w:r w:rsidRPr="007A4A3C">
      <w:rPr>
        <w:noProof/>
        <w:sz w:val="7"/>
        <w:szCs w:val="7"/>
        <w:lang w:val="en-US"/>
      </w:rPr>
      <w:drawing>
        <wp:inline distT="0" distB="0" distL="0" distR="0" wp14:anchorId="5EC01F78" wp14:editId="0B841BE2">
          <wp:extent cx="1000125" cy="600075"/>
          <wp:effectExtent l="0" t="0" r="9525" b="9525"/>
          <wp:docPr id="1379859006" name="Picture 1379859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72B">
      <w:rPr>
        <w:sz w:val="7"/>
        <w:szCs w:val="7"/>
      </w:rPr>
      <w:t xml:space="preserve">                            </w:t>
    </w:r>
    <w:r w:rsidRPr="007A4A3C">
      <w:rPr>
        <w:noProof/>
        <w:sz w:val="7"/>
        <w:szCs w:val="7"/>
        <w:lang w:val="en-US"/>
      </w:rPr>
      <w:drawing>
        <wp:inline distT="0" distB="0" distL="0" distR="0" wp14:anchorId="662E660C" wp14:editId="1D0DB600">
          <wp:extent cx="685800" cy="609600"/>
          <wp:effectExtent l="0" t="0" r="0" b="0"/>
          <wp:docPr id="827750434" name="Picture 8277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            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320BD719" wp14:editId="0B479D4C">
          <wp:extent cx="790575" cy="666750"/>
          <wp:effectExtent l="0" t="0" r="9525" b="0"/>
          <wp:docPr id="1296251128" name="Picture 129625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556A1D76" wp14:editId="62F92230">
          <wp:extent cx="1562100" cy="542925"/>
          <wp:effectExtent l="0" t="0" r="0" b="9525"/>
          <wp:docPr id="1054404577" name="Picture 1054404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5772B">
      <w:rPr>
        <w:b/>
        <w:bCs/>
        <w:sz w:val="7"/>
        <w:szCs w:val="7"/>
      </w:rPr>
      <w:t xml:space="preserve">               </w:t>
    </w:r>
    <w:r>
      <w:rPr>
        <w:b/>
        <w:bCs/>
        <w:noProof/>
        <w:sz w:val="7"/>
        <w:szCs w:val="7"/>
        <w:lang w:val="en-US"/>
      </w:rPr>
      <w:drawing>
        <wp:inline distT="0" distB="0" distL="0" distR="0" wp14:anchorId="0AA181FA" wp14:editId="710414EE">
          <wp:extent cx="607060" cy="565453"/>
          <wp:effectExtent l="0" t="0" r="2540" b="6350"/>
          <wp:docPr id="843138775" name="Picture 843138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12" cy="568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F48EC8" w14:textId="77777777" w:rsidR="00BE01FF" w:rsidRPr="0005772B" w:rsidRDefault="00BE01FF" w:rsidP="00BE01FF">
    <w:pPr>
      <w:kinsoku w:val="0"/>
      <w:overflowPunct w:val="0"/>
      <w:autoSpaceDE w:val="0"/>
      <w:autoSpaceDN w:val="0"/>
      <w:adjustRightInd w:val="0"/>
      <w:spacing w:before="6"/>
      <w:rPr>
        <w:b/>
        <w:bCs/>
        <w:sz w:val="7"/>
        <w:szCs w:val="7"/>
      </w:rPr>
    </w:pPr>
    <w:r w:rsidRPr="0005772B">
      <w:rPr>
        <w:b/>
        <w:bCs/>
        <w:sz w:val="7"/>
        <w:szCs w:val="7"/>
      </w:rPr>
      <w:t xml:space="preserve">    </w:t>
    </w:r>
  </w:p>
  <w:p w14:paraId="14167BAE" w14:textId="77777777" w:rsidR="00BE01FF" w:rsidRPr="00BE01FF" w:rsidRDefault="00BE01FF" w:rsidP="00BE01FF">
    <w:pPr>
      <w:tabs>
        <w:tab w:val="left" w:pos="2670"/>
      </w:tabs>
      <w:kinsoku w:val="0"/>
      <w:overflowPunct w:val="0"/>
      <w:autoSpaceDE w:val="0"/>
      <w:autoSpaceDN w:val="0"/>
      <w:adjustRightInd w:val="0"/>
      <w:spacing w:before="6"/>
      <w:rPr>
        <w:b/>
        <w:bCs/>
        <w:sz w:val="16"/>
        <w:szCs w:val="16"/>
        <w:lang w:val="bg-BG"/>
      </w:rPr>
    </w:pPr>
    <w:bookmarkStart w:id="0" w:name="_Hlk188359559"/>
    <w:r w:rsidRPr="00BE01FF">
      <w:rPr>
        <w:b/>
        <w:bCs/>
        <w:sz w:val="16"/>
        <w:szCs w:val="16"/>
        <w:lang w:val="bg-BG"/>
      </w:rPr>
      <w:t>Финансирано                    План за възстановяване   Република България    Българска академия         Институт по роботика</w:t>
    </w:r>
  </w:p>
  <w:p w14:paraId="3D9380C7" w14:textId="77777777" w:rsidR="00BE01FF" w:rsidRPr="00BE01FF" w:rsidRDefault="00BE01FF" w:rsidP="00BE01FF">
    <w:pPr>
      <w:tabs>
        <w:tab w:val="left" w:pos="2670"/>
      </w:tabs>
      <w:kinsoku w:val="0"/>
      <w:overflowPunct w:val="0"/>
      <w:autoSpaceDE w:val="0"/>
      <w:autoSpaceDN w:val="0"/>
      <w:adjustRightInd w:val="0"/>
      <w:spacing w:before="6"/>
      <w:rPr>
        <w:b/>
        <w:bCs/>
        <w:sz w:val="16"/>
        <w:szCs w:val="16"/>
        <w:lang w:val="bg-BG"/>
      </w:rPr>
    </w:pPr>
    <w:r w:rsidRPr="00BE01FF">
      <w:rPr>
        <w:b/>
        <w:bCs/>
        <w:sz w:val="16"/>
        <w:szCs w:val="16"/>
        <w:lang w:val="bg-BG"/>
      </w:rPr>
      <w:t xml:space="preserve">от Европейския съюз      и устойчивост                                                                на науките                  </w:t>
    </w:r>
  </w:p>
  <w:bookmarkEnd w:id="0"/>
  <w:p w14:paraId="41744FB6" w14:textId="77777777" w:rsidR="00BE01FF" w:rsidRDefault="00BE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033"/>
    <w:multiLevelType w:val="hybridMultilevel"/>
    <w:tmpl w:val="218C3854"/>
    <w:lvl w:ilvl="0" w:tplc="6A4A280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7962E2"/>
    <w:multiLevelType w:val="hybridMultilevel"/>
    <w:tmpl w:val="AAD06B8C"/>
    <w:lvl w:ilvl="0" w:tplc="DA686D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621232"/>
    <w:multiLevelType w:val="hybridMultilevel"/>
    <w:tmpl w:val="646AAF3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8D6B39"/>
    <w:multiLevelType w:val="hybridMultilevel"/>
    <w:tmpl w:val="6C80FDA2"/>
    <w:lvl w:ilvl="0" w:tplc="DA686D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77606D"/>
    <w:multiLevelType w:val="hybridMultilevel"/>
    <w:tmpl w:val="CA581598"/>
    <w:lvl w:ilvl="0" w:tplc="0402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548294E"/>
    <w:multiLevelType w:val="hybridMultilevel"/>
    <w:tmpl w:val="82F80388"/>
    <w:lvl w:ilvl="0" w:tplc="40C063A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701E80"/>
    <w:multiLevelType w:val="hybridMultilevel"/>
    <w:tmpl w:val="7ACECBC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2178860">
    <w:abstractNumId w:val="3"/>
  </w:num>
  <w:num w:numId="2" w16cid:durableId="1142504368">
    <w:abstractNumId w:val="1"/>
  </w:num>
  <w:num w:numId="3" w16cid:durableId="1962229197">
    <w:abstractNumId w:val="5"/>
  </w:num>
  <w:num w:numId="4" w16cid:durableId="218319889">
    <w:abstractNumId w:val="6"/>
  </w:num>
  <w:num w:numId="5" w16cid:durableId="510221619">
    <w:abstractNumId w:val="2"/>
  </w:num>
  <w:num w:numId="6" w16cid:durableId="88892527">
    <w:abstractNumId w:val="0"/>
  </w:num>
  <w:num w:numId="7" w16cid:durableId="59524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FF"/>
    <w:rsid w:val="0008565C"/>
    <w:rsid w:val="002E0BF1"/>
    <w:rsid w:val="004F4C76"/>
    <w:rsid w:val="006C0B77"/>
    <w:rsid w:val="00756701"/>
    <w:rsid w:val="008242FF"/>
    <w:rsid w:val="008507B3"/>
    <w:rsid w:val="00870751"/>
    <w:rsid w:val="00922C48"/>
    <w:rsid w:val="009C3599"/>
    <w:rsid w:val="009E3DE7"/>
    <w:rsid w:val="00A0660F"/>
    <w:rsid w:val="00B915B7"/>
    <w:rsid w:val="00BE01FF"/>
    <w:rsid w:val="00C64A32"/>
    <w:rsid w:val="00CD5FC4"/>
    <w:rsid w:val="00E571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021C"/>
  <w15:chartTrackingRefBased/>
  <w15:docId w15:val="{8FB2C38D-DEA3-4CE7-93EC-8E7EF29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1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1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1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1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1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1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1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1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1F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1FF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1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1F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1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1F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0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1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1F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E0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1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1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1F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BE01F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01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01F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E01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01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HUMANRE</dc:creator>
  <cp:keywords/>
  <dc:description/>
  <cp:lastModifiedBy>HUMANRE</cp:lastModifiedBy>
  <cp:revision>5</cp:revision>
  <dcterms:created xsi:type="dcterms:W3CDTF">2025-03-06T08:32:00Z</dcterms:created>
  <dcterms:modified xsi:type="dcterms:W3CDTF">2025-03-06T08:52:00Z</dcterms:modified>
</cp:coreProperties>
</file>